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9A070" w14:textId="77777777" w:rsidR="00131DBF" w:rsidRDefault="00131DBF" w:rsidP="006168DF">
      <w:pPr>
        <w:spacing w:line="276" w:lineRule="auto"/>
        <w:ind w:left="452"/>
        <w:jc w:val="center"/>
        <w:rPr>
          <w:rFonts w:ascii="Avenir Next" w:eastAsia="Times New Roman" w:hAnsi="Avenir Next" w:cstheme="minorHAnsi"/>
          <w:b/>
          <w:bCs/>
          <w:lang w:val="hr-BA"/>
        </w:rPr>
      </w:pPr>
      <w:r>
        <w:rPr>
          <w:rFonts w:ascii="Avenir Next" w:eastAsia="Times New Roman" w:hAnsi="Avenir Next" w:cstheme="minorHAnsi"/>
          <w:b/>
          <w:bCs/>
          <w:lang w:val="hr-BA"/>
        </w:rPr>
        <w:t>P R I M J E R</w:t>
      </w:r>
    </w:p>
    <w:p w14:paraId="560CCE70" w14:textId="77777777" w:rsidR="006168DF" w:rsidRPr="006168DF" w:rsidRDefault="006168DF" w:rsidP="006168DF">
      <w:pPr>
        <w:spacing w:line="276" w:lineRule="auto"/>
        <w:ind w:left="452"/>
        <w:jc w:val="center"/>
        <w:rPr>
          <w:rFonts w:ascii="Avenir Next" w:eastAsia="Times New Roman" w:hAnsi="Avenir Next" w:cstheme="minorHAnsi"/>
          <w:b/>
          <w:bCs/>
          <w:lang w:val="hr-BA"/>
        </w:rPr>
      </w:pPr>
      <w:r w:rsidRPr="006168DF">
        <w:rPr>
          <w:rFonts w:ascii="Avenir Next" w:eastAsia="Times New Roman" w:hAnsi="Avenir Next" w:cstheme="minorHAnsi"/>
          <w:b/>
          <w:bCs/>
          <w:lang w:val="hr-BA"/>
        </w:rPr>
        <w:t>Ž</w:t>
      </w:r>
      <w:r>
        <w:rPr>
          <w:rFonts w:ascii="Avenir Next" w:eastAsia="Times New Roman" w:hAnsi="Avenir Next" w:cstheme="minorHAnsi"/>
          <w:b/>
          <w:bCs/>
          <w:lang w:val="hr-BA"/>
        </w:rPr>
        <w:t xml:space="preserve"> </w:t>
      </w:r>
      <w:r w:rsidRPr="006168DF">
        <w:rPr>
          <w:rFonts w:ascii="Avenir Next" w:eastAsia="Times New Roman" w:hAnsi="Avenir Next" w:cstheme="minorHAnsi"/>
          <w:b/>
          <w:bCs/>
          <w:lang w:val="hr-BA"/>
        </w:rPr>
        <w:t>A</w:t>
      </w:r>
      <w:r>
        <w:rPr>
          <w:rFonts w:ascii="Avenir Next" w:eastAsia="Times New Roman" w:hAnsi="Avenir Next" w:cstheme="minorHAnsi"/>
          <w:b/>
          <w:bCs/>
          <w:lang w:val="hr-BA"/>
        </w:rPr>
        <w:t xml:space="preserve"> </w:t>
      </w:r>
      <w:r w:rsidRPr="006168DF">
        <w:rPr>
          <w:rFonts w:ascii="Avenir Next" w:eastAsia="Times New Roman" w:hAnsi="Avenir Next" w:cstheme="minorHAnsi"/>
          <w:b/>
          <w:bCs/>
          <w:lang w:val="hr-BA"/>
        </w:rPr>
        <w:t>L</w:t>
      </w:r>
      <w:r>
        <w:rPr>
          <w:rFonts w:ascii="Avenir Next" w:eastAsia="Times New Roman" w:hAnsi="Avenir Next" w:cstheme="minorHAnsi"/>
          <w:b/>
          <w:bCs/>
          <w:lang w:val="hr-BA"/>
        </w:rPr>
        <w:t xml:space="preserve"> </w:t>
      </w:r>
      <w:r w:rsidRPr="006168DF">
        <w:rPr>
          <w:rFonts w:ascii="Avenir Next" w:eastAsia="Times New Roman" w:hAnsi="Avenir Next" w:cstheme="minorHAnsi"/>
          <w:b/>
          <w:bCs/>
          <w:lang w:val="hr-BA"/>
        </w:rPr>
        <w:t>B</w:t>
      </w:r>
      <w:r>
        <w:rPr>
          <w:rFonts w:ascii="Avenir Next" w:eastAsia="Times New Roman" w:hAnsi="Avenir Next" w:cstheme="minorHAnsi"/>
          <w:b/>
          <w:bCs/>
          <w:lang w:val="hr-BA"/>
        </w:rPr>
        <w:t xml:space="preserve"> </w:t>
      </w:r>
      <w:r w:rsidRPr="006168DF">
        <w:rPr>
          <w:rFonts w:ascii="Avenir Next" w:eastAsia="Times New Roman" w:hAnsi="Avenir Next" w:cstheme="minorHAnsi"/>
          <w:b/>
          <w:bCs/>
          <w:lang w:val="hr-BA"/>
        </w:rPr>
        <w:t>A</w:t>
      </w:r>
    </w:p>
    <w:p w14:paraId="4458924D" w14:textId="77777777" w:rsidR="006168DF" w:rsidRDefault="006168DF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</w:p>
    <w:p w14:paraId="14F1783B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  <w:r w:rsidRPr="00C47F88">
        <w:rPr>
          <w:rFonts w:ascii="Avenir Next" w:eastAsia="Times New Roman" w:hAnsi="Avenir Next" w:cstheme="minorHAnsi"/>
          <w:lang w:val="hr-BA"/>
        </w:rPr>
        <w:t>KANTONALNI SUD U SARAJEVU</w:t>
      </w:r>
    </w:p>
    <w:p w14:paraId="0E9E2443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  <w:r w:rsidRPr="00C47F88">
        <w:rPr>
          <w:rFonts w:ascii="Avenir Next" w:eastAsia="Times New Roman" w:hAnsi="Avenir Next" w:cstheme="minorHAnsi"/>
          <w:lang w:val="hr-BA"/>
        </w:rPr>
        <w:t>S</w:t>
      </w:r>
      <w:r>
        <w:rPr>
          <w:rFonts w:ascii="Avenir Next" w:eastAsia="Times New Roman" w:hAnsi="Avenir Next" w:cstheme="minorHAnsi"/>
          <w:lang w:val="hr-BA"/>
        </w:rPr>
        <w:t>ARAJEVO</w:t>
      </w:r>
    </w:p>
    <w:p w14:paraId="63E1D3FD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  <w:r w:rsidRPr="00C47F88">
        <w:rPr>
          <w:rFonts w:ascii="Avenir Next" w:eastAsia="Times New Roman" w:hAnsi="Avenir Next" w:cstheme="minorHAnsi"/>
          <w:lang w:val="hr-BA"/>
        </w:rPr>
        <w:t>putem</w:t>
      </w:r>
    </w:p>
    <w:p w14:paraId="698E6CD8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  <w:r w:rsidRPr="00C47F88">
        <w:rPr>
          <w:rFonts w:ascii="Avenir Next" w:eastAsia="Times New Roman" w:hAnsi="Avenir Next" w:cstheme="minorHAnsi"/>
          <w:lang w:val="hr-BA"/>
        </w:rPr>
        <w:t>OPĆINSKOG SUDA U SARAJEVU</w:t>
      </w:r>
    </w:p>
    <w:p w14:paraId="17F295CE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  <w:r w:rsidRPr="00C47F88">
        <w:rPr>
          <w:rFonts w:ascii="Avenir Next" w:eastAsia="Times New Roman" w:hAnsi="Avenir Next" w:cstheme="minorHAnsi"/>
          <w:lang w:val="hr-BA"/>
        </w:rPr>
        <w:t>SARAJEVO</w:t>
      </w:r>
    </w:p>
    <w:p w14:paraId="5069B290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</w:p>
    <w:p w14:paraId="01F41708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  <w:r w:rsidRPr="00F94BA1">
        <w:rPr>
          <w:rFonts w:ascii="Avenir Next" w:eastAsia="Times New Roman" w:hAnsi="Avenir Next" w:cstheme="minorHAnsi"/>
          <w:b/>
          <w:bCs/>
          <w:lang w:val="hr-BA"/>
        </w:rPr>
        <w:t>Na broj:</w:t>
      </w:r>
      <w:r w:rsidRPr="00C47F88">
        <w:rPr>
          <w:rFonts w:ascii="Avenir Next" w:eastAsia="Times New Roman" w:hAnsi="Avenir Next" w:cstheme="minorHAnsi"/>
          <w:lang w:val="hr-BA"/>
        </w:rPr>
        <w:t xml:space="preserve"> (upisati broj predmeta)</w:t>
      </w:r>
    </w:p>
    <w:p w14:paraId="0C2443C8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  <w:r w:rsidRPr="00C47F88">
        <w:rPr>
          <w:rFonts w:ascii="Avenir Next" w:eastAsia="Times New Roman" w:hAnsi="Avenir Next" w:cstheme="minorHAnsi"/>
          <w:lang w:val="hr-BA"/>
        </w:rPr>
        <w:t xml:space="preserve">Sarajevo, </w:t>
      </w:r>
      <w:r>
        <w:rPr>
          <w:rFonts w:ascii="Avenir Next" w:eastAsia="Times New Roman" w:hAnsi="Avenir Next" w:cstheme="minorHAnsi"/>
          <w:lang w:val="hr-BA"/>
        </w:rPr>
        <w:t>datum</w:t>
      </w:r>
    </w:p>
    <w:p w14:paraId="66491A23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</w:p>
    <w:p w14:paraId="4EB9354A" w14:textId="66916B99" w:rsidR="006168DF" w:rsidRDefault="00F94BA1" w:rsidP="007443C8">
      <w:pPr>
        <w:tabs>
          <w:tab w:val="left" w:pos="9720"/>
        </w:tabs>
        <w:spacing w:line="276" w:lineRule="auto"/>
        <w:ind w:left="452"/>
        <w:jc w:val="both"/>
        <w:rPr>
          <w:rFonts w:ascii="Avenir Next" w:eastAsia="Calibri" w:hAnsi="Avenir Next" w:cstheme="minorHAnsi"/>
          <w:bCs/>
          <w:lang w:val="hr-BA"/>
        </w:rPr>
      </w:pPr>
      <w:r w:rsidRPr="00F94BA1">
        <w:rPr>
          <w:rFonts w:ascii="Avenir Next" w:eastAsia="Calibri" w:hAnsi="Avenir Next" w:cstheme="minorHAnsi"/>
          <w:b/>
          <w:lang w:val="hr-BA"/>
        </w:rPr>
        <w:t>TUŽILAC:</w:t>
      </w:r>
      <w:r w:rsidRPr="00071E5C">
        <w:rPr>
          <w:rFonts w:ascii="Avenir Next" w:eastAsia="Calibri" w:hAnsi="Avenir Next" w:cstheme="minorHAnsi"/>
          <w:bCs/>
          <w:lang w:val="hr-BA"/>
        </w:rPr>
        <w:t xml:space="preserve"> </w:t>
      </w:r>
      <w:r w:rsidR="00326487" w:rsidRPr="00326487">
        <w:rPr>
          <w:rFonts w:ascii="Avenir Next" w:eastAsia="Calibri" w:hAnsi="Avenir Next" w:cstheme="minorHAnsi"/>
          <w:bCs/>
          <w:lang w:val="hr-BA"/>
        </w:rPr>
        <w:t>Naziv kompanije, JIB, adresa, mjesto (zastupano po: ime i prezime zakonskog zastupnika)</w:t>
      </w:r>
    </w:p>
    <w:p w14:paraId="73D9B1CF" w14:textId="77777777" w:rsidR="00326487" w:rsidRPr="00C47F88" w:rsidRDefault="00326487" w:rsidP="007443C8">
      <w:pPr>
        <w:tabs>
          <w:tab w:val="left" w:pos="9720"/>
        </w:tabs>
        <w:spacing w:line="276" w:lineRule="auto"/>
        <w:ind w:left="452"/>
        <w:jc w:val="both"/>
        <w:rPr>
          <w:rFonts w:ascii="Avenir Next" w:eastAsia="Calibri" w:hAnsi="Avenir Next" w:cstheme="minorHAnsi"/>
          <w:lang w:val="hr-BA"/>
        </w:rPr>
      </w:pPr>
    </w:p>
    <w:p w14:paraId="15150E41" w14:textId="430F89BA" w:rsidR="006168DF" w:rsidRDefault="00F94BA1" w:rsidP="006168DF">
      <w:pPr>
        <w:tabs>
          <w:tab w:val="left" w:pos="9720"/>
        </w:tabs>
        <w:spacing w:line="276" w:lineRule="auto"/>
        <w:ind w:left="452"/>
        <w:jc w:val="both"/>
        <w:rPr>
          <w:rFonts w:ascii="Avenir Next" w:eastAsia="Calibri" w:hAnsi="Avenir Next" w:cstheme="minorHAnsi"/>
          <w:bCs/>
          <w:lang w:val="hr-BA"/>
        </w:rPr>
      </w:pPr>
      <w:r w:rsidRPr="00F94BA1">
        <w:rPr>
          <w:rFonts w:ascii="Avenir Next" w:eastAsia="Calibri" w:hAnsi="Avenir Next" w:cstheme="minorHAnsi"/>
          <w:b/>
          <w:lang w:val="hr-BA"/>
        </w:rPr>
        <w:t>TUŽENI:</w:t>
      </w:r>
      <w:r w:rsidRPr="00C47F88">
        <w:rPr>
          <w:rFonts w:ascii="Avenir Next" w:eastAsia="Calibri" w:hAnsi="Avenir Next" w:cstheme="minorHAnsi"/>
          <w:bCs/>
          <w:lang w:val="hr-BA"/>
        </w:rPr>
        <w:t xml:space="preserve"> </w:t>
      </w:r>
      <w:r w:rsidR="00326487" w:rsidRPr="00326487">
        <w:rPr>
          <w:rFonts w:ascii="Avenir Next" w:eastAsia="Calibri" w:hAnsi="Avenir Next" w:cstheme="minorHAnsi"/>
          <w:bCs/>
          <w:lang w:val="hr-BA"/>
        </w:rPr>
        <w:t>Naziv kompanije, JIB, adresa, mjesto (zastupano po: ime i prezime zakonskog zastupnika)</w:t>
      </w:r>
    </w:p>
    <w:p w14:paraId="46238D9F" w14:textId="77777777" w:rsidR="00326487" w:rsidRPr="00C47F88" w:rsidRDefault="00326487" w:rsidP="006168DF">
      <w:pPr>
        <w:tabs>
          <w:tab w:val="left" w:pos="9720"/>
        </w:tabs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  <w:bookmarkStart w:id="0" w:name="_GoBack"/>
      <w:bookmarkEnd w:id="0"/>
    </w:p>
    <w:p w14:paraId="63D09D0B" w14:textId="77777777" w:rsidR="00F94BA1" w:rsidRPr="006168DF" w:rsidRDefault="00F94BA1" w:rsidP="00F94BA1">
      <w:pPr>
        <w:spacing w:line="276" w:lineRule="auto"/>
        <w:ind w:left="452"/>
        <w:jc w:val="center"/>
        <w:rPr>
          <w:rFonts w:ascii="Avenir Next" w:eastAsia="Times New Roman" w:hAnsi="Avenir Next" w:cstheme="minorHAnsi"/>
          <w:b/>
          <w:bCs/>
          <w:lang w:val="hr-BA"/>
        </w:rPr>
      </w:pPr>
      <w:r w:rsidRPr="006168DF">
        <w:rPr>
          <w:rFonts w:ascii="Avenir Next" w:eastAsia="Times New Roman" w:hAnsi="Avenir Next" w:cstheme="minorHAnsi"/>
          <w:b/>
          <w:bCs/>
          <w:lang w:val="hr-BA"/>
        </w:rPr>
        <w:t>Ž A L B A</w:t>
      </w:r>
    </w:p>
    <w:p w14:paraId="55258922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</w:p>
    <w:p w14:paraId="1838F7C2" w14:textId="77777777" w:rsidR="007443C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  <w:r w:rsidRPr="00C47F88">
        <w:rPr>
          <w:rFonts w:ascii="Avenir Next" w:eastAsia="Times New Roman" w:hAnsi="Avenir Next" w:cstheme="minorHAnsi"/>
          <w:lang w:val="hr-BA"/>
        </w:rPr>
        <w:t>Dana 20.05.2019. godine Općinski sud u Sarajevu je donio Presudu broj (broj predmeta)  kojom je usvojen tužbeni zahtjev tužioca u cjelosti kao osnovan.</w:t>
      </w:r>
      <w:r w:rsidR="003A576F">
        <w:rPr>
          <w:rFonts w:ascii="Avenir Next" w:eastAsia="Times New Roman" w:hAnsi="Avenir Next" w:cstheme="minorHAnsi"/>
          <w:lang w:val="hr-BA"/>
        </w:rPr>
        <w:t xml:space="preserve"> </w:t>
      </w:r>
    </w:p>
    <w:p w14:paraId="1C0ACAE6" w14:textId="5C8585E5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theme="minorHAnsi"/>
          <w:lang w:val="hr-BA"/>
        </w:rPr>
      </w:pPr>
      <w:r w:rsidRPr="00C47F88">
        <w:rPr>
          <w:rFonts w:ascii="Avenir Next" w:eastAsia="Times New Roman" w:hAnsi="Avenir Next" w:cstheme="minorHAnsi"/>
          <w:lang w:val="hr-BA"/>
        </w:rPr>
        <w:t>Nezadovoljan takvom odlukom tuženi izjavljuje žalbu na navedenu presudu, i to zbog:</w:t>
      </w:r>
    </w:p>
    <w:p w14:paraId="6516A275" w14:textId="77777777" w:rsidR="00F94BA1" w:rsidRPr="000D76E9" w:rsidRDefault="00F94BA1" w:rsidP="00F94BA1">
      <w:pPr>
        <w:numPr>
          <w:ilvl w:val="0"/>
          <w:numId w:val="1"/>
        </w:numPr>
        <w:spacing w:line="276" w:lineRule="auto"/>
        <w:ind w:left="452"/>
        <w:contextualSpacing/>
        <w:jc w:val="both"/>
        <w:rPr>
          <w:rFonts w:ascii="Avenir Next" w:eastAsia="Times New Roman" w:hAnsi="Avenir Next" w:cs="Calibri"/>
          <w:b/>
          <w:bCs/>
          <w:lang w:val="hr-BA"/>
        </w:rPr>
      </w:pPr>
      <w:r w:rsidRPr="000D76E9">
        <w:rPr>
          <w:rFonts w:ascii="Avenir Next" w:eastAsia="Times New Roman" w:hAnsi="Avenir Next" w:cs="Calibri"/>
          <w:b/>
          <w:bCs/>
          <w:lang w:val="hr-BA"/>
        </w:rPr>
        <w:t>Navedite iz kojih razloga pobijate prvostepenu presudu, na primjer:</w:t>
      </w:r>
    </w:p>
    <w:p w14:paraId="30635898" w14:textId="71861CFC" w:rsidR="00F94BA1" w:rsidRPr="00071E5C" w:rsidRDefault="00F94BA1" w:rsidP="00F94BA1">
      <w:pPr>
        <w:pStyle w:val="ListParagraph"/>
        <w:numPr>
          <w:ilvl w:val="0"/>
          <w:numId w:val="2"/>
        </w:numPr>
        <w:spacing w:line="276" w:lineRule="auto"/>
        <w:ind w:left="452"/>
        <w:jc w:val="both"/>
        <w:rPr>
          <w:rFonts w:ascii="Avenir Next" w:eastAsia="Times New Roman" w:hAnsi="Avenir Next" w:cs="Calibri"/>
          <w:lang w:val="hr-BA"/>
        </w:rPr>
      </w:pPr>
      <w:r w:rsidRPr="00071E5C">
        <w:rPr>
          <w:rFonts w:ascii="Avenir Next" w:eastAsia="Times New Roman" w:hAnsi="Avenir Next" w:cs="Calibri"/>
          <w:lang w:val="hr-BA"/>
        </w:rPr>
        <w:t>povrede odredaba parničnog postupka</w:t>
      </w:r>
    </w:p>
    <w:p w14:paraId="6E4A7CE2" w14:textId="4112D573" w:rsidR="00F94BA1" w:rsidRPr="00071E5C" w:rsidRDefault="00F94BA1" w:rsidP="00F94BA1">
      <w:pPr>
        <w:pStyle w:val="ListParagraph"/>
        <w:numPr>
          <w:ilvl w:val="0"/>
          <w:numId w:val="2"/>
        </w:numPr>
        <w:spacing w:line="276" w:lineRule="auto"/>
        <w:ind w:left="452"/>
        <w:jc w:val="both"/>
        <w:rPr>
          <w:rFonts w:ascii="Avenir Next" w:eastAsia="Times New Roman" w:hAnsi="Avenir Next" w:cs="Calibri"/>
          <w:lang w:val="hr-BA"/>
        </w:rPr>
      </w:pPr>
      <w:r w:rsidRPr="00071E5C">
        <w:rPr>
          <w:rFonts w:ascii="Avenir Next" w:eastAsia="Times New Roman" w:hAnsi="Avenir Next" w:cs="Calibri"/>
          <w:lang w:val="hr-BA"/>
        </w:rPr>
        <w:t>pogrešno utvrđenog činjeničnog stanja</w:t>
      </w:r>
    </w:p>
    <w:p w14:paraId="3AA5D6C0" w14:textId="56685B00" w:rsidR="00F94BA1" w:rsidRDefault="00F94BA1" w:rsidP="00F94BA1">
      <w:pPr>
        <w:pStyle w:val="ListParagraph"/>
        <w:numPr>
          <w:ilvl w:val="0"/>
          <w:numId w:val="2"/>
        </w:numPr>
        <w:spacing w:line="276" w:lineRule="auto"/>
        <w:ind w:left="452"/>
        <w:jc w:val="both"/>
        <w:rPr>
          <w:rFonts w:ascii="Avenir Next" w:eastAsia="Times New Roman" w:hAnsi="Avenir Next" w:cs="Calibri"/>
          <w:lang w:val="hr-BA"/>
        </w:rPr>
      </w:pPr>
      <w:r w:rsidRPr="00071E5C">
        <w:rPr>
          <w:rFonts w:ascii="Avenir Next" w:eastAsia="Times New Roman" w:hAnsi="Avenir Next" w:cs="Calibri"/>
          <w:lang w:val="hr-BA"/>
        </w:rPr>
        <w:t>pogrešne primjene materijalnog prava</w:t>
      </w:r>
    </w:p>
    <w:p w14:paraId="7C77F32D" w14:textId="77777777" w:rsidR="008009C5" w:rsidRPr="00071E5C" w:rsidRDefault="008009C5" w:rsidP="008009C5">
      <w:pPr>
        <w:pStyle w:val="ListParagraph"/>
        <w:spacing w:line="276" w:lineRule="auto"/>
        <w:ind w:left="452"/>
        <w:jc w:val="both"/>
        <w:rPr>
          <w:rFonts w:ascii="Avenir Next" w:eastAsia="Times New Roman" w:hAnsi="Avenir Next" w:cs="Calibri"/>
          <w:lang w:val="hr-BA"/>
        </w:rPr>
      </w:pPr>
    </w:p>
    <w:p w14:paraId="072C45EA" w14:textId="77777777" w:rsidR="00F94BA1" w:rsidRPr="00D17F40" w:rsidRDefault="00F94BA1" w:rsidP="00F94BA1">
      <w:pPr>
        <w:numPr>
          <w:ilvl w:val="0"/>
          <w:numId w:val="1"/>
        </w:numPr>
        <w:spacing w:line="276" w:lineRule="auto"/>
        <w:ind w:left="452"/>
        <w:contextualSpacing/>
        <w:jc w:val="both"/>
        <w:rPr>
          <w:rFonts w:ascii="Avenir Next" w:eastAsia="Times New Roman" w:hAnsi="Avenir Next" w:cs="Calibri"/>
          <w:b/>
          <w:bCs/>
          <w:lang w:val="hr-BA"/>
        </w:rPr>
      </w:pPr>
      <w:r w:rsidRPr="00D17F40">
        <w:rPr>
          <w:rFonts w:ascii="Avenir Next" w:eastAsia="Times New Roman" w:hAnsi="Avenir Next" w:cs="Calibri"/>
          <w:b/>
          <w:bCs/>
          <w:lang w:val="hr-BA"/>
        </w:rPr>
        <w:t xml:space="preserve">Navedite šta predlažete sudu, na primjer: </w:t>
      </w:r>
    </w:p>
    <w:p w14:paraId="4882E465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="Calibri"/>
          <w:lang w:val="hr-BA"/>
        </w:rPr>
      </w:pPr>
      <w:r w:rsidRPr="00C47F88">
        <w:rPr>
          <w:rFonts w:ascii="Avenir Next" w:eastAsia="Times New Roman" w:hAnsi="Avenir Next" w:cs="Calibri"/>
          <w:lang w:val="hr-BA"/>
        </w:rPr>
        <w:t>pa predlaže da drugostepeni sud navedenu presudu preinači na način što će tužbeni zahtjev u cjelosti odbiti kao neosnovan ili što će prvostepenu presudu poništiti i postupak vratiti prvostepenom sudu na ponovno rješavanje.</w:t>
      </w:r>
    </w:p>
    <w:p w14:paraId="6080CDFB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="Calibri"/>
          <w:lang w:val="hr-BA"/>
        </w:rPr>
      </w:pPr>
      <w:r w:rsidRPr="00C47F88">
        <w:rPr>
          <w:rFonts w:ascii="Avenir Next" w:eastAsia="Times New Roman" w:hAnsi="Avenir Next" w:cs="Calibri"/>
          <w:lang w:val="hr-BA"/>
        </w:rPr>
        <w:t>Vodite računa da navedete sve zakonske odredbe, činjenične i materijalne dokaze na kojima zasnivate Vašu žalbu.</w:t>
      </w:r>
    </w:p>
    <w:p w14:paraId="486B077A" w14:textId="77777777" w:rsidR="00F94BA1" w:rsidRPr="00D17F40" w:rsidRDefault="00F94BA1" w:rsidP="00F94BA1">
      <w:pPr>
        <w:numPr>
          <w:ilvl w:val="0"/>
          <w:numId w:val="1"/>
        </w:numPr>
        <w:spacing w:line="276" w:lineRule="auto"/>
        <w:ind w:left="452"/>
        <w:contextualSpacing/>
        <w:jc w:val="both"/>
        <w:rPr>
          <w:rFonts w:ascii="Avenir Next" w:eastAsia="Times New Roman" w:hAnsi="Avenir Next" w:cs="Calibri"/>
          <w:b/>
          <w:bCs/>
          <w:lang w:val="hr-BA"/>
        </w:rPr>
      </w:pPr>
      <w:r w:rsidRPr="00D17F40">
        <w:rPr>
          <w:rFonts w:ascii="Avenir Next" w:eastAsia="Times New Roman" w:hAnsi="Avenir Next" w:cs="Calibri"/>
          <w:b/>
          <w:bCs/>
          <w:lang w:val="hr-BA"/>
        </w:rPr>
        <w:t xml:space="preserve">Navedite šta tačno tražite od suda, na primjer: </w:t>
      </w:r>
    </w:p>
    <w:p w14:paraId="4D0A9F5F" w14:textId="77777777" w:rsidR="00F94BA1" w:rsidRPr="00C47F88" w:rsidRDefault="00F94BA1" w:rsidP="00F94BA1">
      <w:pPr>
        <w:spacing w:line="276" w:lineRule="auto"/>
        <w:ind w:left="452"/>
        <w:jc w:val="both"/>
        <w:rPr>
          <w:rFonts w:ascii="Avenir Next" w:eastAsia="Times New Roman" w:hAnsi="Avenir Next" w:cs="Calibri"/>
          <w:lang w:val="hr-BA"/>
        </w:rPr>
      </w:pPr>
      <w:r w:rsidRPr="00C47F88">
        <w:rPr>
          <w:rFonts w:ascii="Avenir Next" w:eastAsia="Times New Roman" w:hAnsi="Avenir Next" w:cs="Calibri"/>
          <w:lang w:val="hr-BA"/>
        </w:rPr>
        <w:t xml:space="preserve">Tužena predlaže da, shodno navedenom, drugostepeni sud usvoji žalbu tužene u cjelosti kao osnovanu, te da preinači prvostepenu presudu na način da odbije tužbeni zahtjev tužioca u cjelosti kao neosnovan, ili da djelimično usvoji tužbeni zahtjev tužioca u iznosu od 14.500,00 </w:t>
      </w:r>
      <w:r w:rsidRPr="00C47F88">
        <w:rPr>
          <w:rFonts w:ascii="Avenir Next" w:eastAsia="Times New Roman" w:hAnsi="Avenir Next" w:cs="Calibri"/>
          <w:lang w:val="hr-BA"/>
        </w:rPr>
        <w:lastRenderedPageBreak/>
        <w:t xml:space="preserve">KM sa zakonskim zateznim kamatama, a da u svakom slučaju obaveže tužioca da tuženoj naknadi troškove parničnog postupka u roku od 15 </w:t>
      </w:r>
      <w:r>
        <w:rPr>
          <w:rFonts w:ascii="Avenir Next" w:eastAsia="Times New Roman" w:hAnsi="Avenir Next" w:cs="Calibri"/>
          <w:lang w:val="hr-BA"/>
        </w:rPr>
        <w:t xml:space="preserve">kalendarskih </w:t>
      </w:r>
      <w:r w:rsidRPr="00C47F88">
        <w:rPr>
          <w:rFonts w:ascii="Avenir Next" w:eastAsia="Times New Roman" w:hAnsi="Avenir Next" w:cs="Calibri"/>
          <w:lang w:val="hr-BA"/>
        </w:rPr>
        <w:t>dana od dana pravosnažnosti presude.</w:t>
      </w:r>
    </w:p>
    <w:p w14:paraId="7A3B9097" w14:textId="77777777" w:rsidR="00D17F40" w:rsidRDefault="00D17F40" w:rsidP="00F94BA1">
      <w:pPr>
        <w:spacing w:line="276" w:lineRule="auto"/>
        <w:rPr>
          <w:rFonts w:ascii="Avenir Next" w:hAnsi="Avenir Next" w:cs="Calibri"/>
          <w:lang w:val="hr-BA"/>
        </w:rPr>
      </w:pPr>
    </w:p>
    <w:p w14:paraId="2B90E75D" w14:textId="12E51AA3" w:rsidR="007F5282" w:rsidRDefault="00F94BA1" w:rsidP="00F94BA1">
      <w:pPr>
        <w:spacing w:line="276" w:lineRule="auto"/>
      </w:pPr>
      <w:r w:rsidRPr="00C47F88">
        <w:rPr>
          <w:rFonts w:ascii="Avenir Next" w:hAnsi="Avenir Next" w:cs="Calibri"/>
          <w:lang w:val="hr-BA"/>
        </w:rPr>
        <w:t>POTPIS I PEČAT PODNOSIOCA ŽALBE</w:t>
      </w:r>
    </w:p>
    <w:sectPr w:rsidR="007F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0FB99" w14:textId="77777777" w:rsidR="00843C47" w:rsidRDefault="00843C47" w:rsidP="00F94BA1">
      <w:r>
        <w:separator/>
      </w:r>
    </w:p>
  </w:endnote>
  <w:endnote w:type="continuationSeparator" w:id="0">
    <w:p w14:paraId="39BD42C3" w14:textId="77777777" w:rsidR="00843C47" w:rsidRDefault="00843C47" w:rsidP="00F9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6629D" w14:textId="77777777" w:rsidR="00843C47" w:rsidRDefault="00843C47" w:rsidP="00F94BA1">
      <w:r>
        <w:separator/>
      </w:r>
    </w:p>
  </w:footnote>
  <w:footnote w:type="continuationSeparator" w:id="0">
    <w:p w14:paraId="5675CD5C" w14:textId="77777777" w:rsidR="00843C47" w:rsidRDefault="00843C47" w:rsidP="00F9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516D"/>
    <w:multiLevelType w:val="hybridMultilevel"/>
    <w:tmpl w:val="ADBC7C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54C27"/>
    <w:multiLevelType w:val="hybridMultilevel"/>
    <w:tmpl w:val="C744121C"/>
    <w:lvl w:ilvl="0" w:tplc="6A0CEECA">
      <w:start w:val="13"/>
      <w:numFmt w:val="bullet"/>
      <w:lvlText w:val="-"/>
      <w:lvlJc w:val="left"/>
      <w:pPr>
        <w:ind w:left="54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A1"/>
    <w:rsid w:val="000D76E9"/>
    <w:rsid w:val="00131DBF"/>
    <w:rsid w:val="00326487"/>
    <w:rsid w:val="003A576F"/>
    <w:rsid w:val="005D022E"/>
    <w:rsid w:val="006168DF"/>
    <w:rsid w:val="007443C8"/>
    <w:rsid w:val="007F5282"/>
    <w:rsid w:val="008009C5"/>
    <w:rsid w:val="00843C47"/>
    <w:rsid w:val="00A44226"/>
    <w:rsid w:val="00C968EC"/>
    <w:rsid w:val="00D17F40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1E9D"/>
  <w15:chartTrackingRefBased/>
  <w15:docId w15:val="{5FC6D156-B861-4120-8A8B-D89D336A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A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B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BA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94B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94B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Kurspahic</dc:creator>
  <cp:keywords/>
  <dc:description/>
  <cp:lastModifiedBy>Jasmina Kurspahic</cp:lastModifiedBy>
  <cp:revision>10</cp:revision>
  <dcterms:created xsi:type="dcterms:W3CDTF">2019-11-04T09:08:00Z</dcterms:created>
  <dcterms:modified xsi:type="dcterms:W3CDTF">2019-11-07T13:16:00Z</dcterms:modified>
</cp:coreProperties>
</file>